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216EB" w14:textId="77777777" w:rsidR="008A0BE2" w:rsidRDefault="005E5ADB">
      <w:bookmarkStart w:id="0" w:name="_GoBack"/>
      <w:bookmarkEnd w:id="0"/>
      <w:r>
        <w:rPr>
          <w:rFonts w:ascii="Times New Roman" w:hAnsi="Times New Roman" w:cs="Times New Roman"/>
          <w:noProof/>
          <w:sz w:val="24"/>
          <w:szCs w:val="24"/>
          <w:lang w:eastAsia="it-IT"/>
        </w:rPr>
        <w:drawing>
          <wp:anchor distT="0" distB="0" distL="0" distR="0" simplePos="0" relativeHeight="251658240" behindDoc="1" locked="0" layoutInCell="1" allowOverlap="1" wp14:anchorId="29770732" wp14:editId="43E625A0">
            <wp:simplePos x="0" y="0"/>
            <wp:positionH relativeFrom="character">
              <wp:posOffset>2416233</wp:posOffset>
            </wp:positionH>
            <wp:positionV relativeFrom="line">
              <wp:posOffset>-232757</wp:posOffset>
            </wp:positionV>
            <wp:extent cx="589915" cy="542290"/>
            <wp:effectExtent l="0" t="0" r="0" b="0"/>
            <wp:wrapNone/>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cstate="print"/>
                    <a:srcRect/>
                    <a:stretch>
                      <a:fillRect/>
                    </a:stretch>
                  </pic:blipFill>
                  <pic:spPr bwMode="auto">
                    <a:xfrm>
                      <a:off x="0" y="0"/>
                      <a:ext cx="589915" cy="542290"/>
                    </a:xfrm>
                    <a:prstGeom prst="rect">
                      <a:avLst/>
                    </a:prstGeom>
                    <a:noFill/>
                    <a:ln w="9525">
                      <a:noFill/>
                      <a:miter lim="800000"/>
                      <a:headEnd/>
                      <a:tailEnd/>
                    </a:ln>
                  </pic:spPr>
                </pic:pic>
              </a:graphicData>
            </a:graphic>
          </wp:anchor>
        </w:drawing>
      </w:r>
    </w:p>
    <w:p w14:paraId="2B964097" w14:textId="77777777" w:rsidR="008A0BE2" w:rsidRDefault="008A0BE2"/>
    <w:p w14:paraId="3E38A737" w14:textId="77777777" w:rsidR="008A0BE2" w:rsidRDefault="005E5ADB">
      <w:pPr>
        <w:spacing w:after="0"/>
        <w:jc w:val="center"/>
      </w:pPr>
      <w:r>
        <w:rPr>
          <w:rFonts w:ascii="Times New Roman" w:hAnsi="Times New Roman" w:cs="Times New Roman"/>
          <w:b/>
          <w:sz w:val="20"/>
          <w:szCs w:val="20"/>
        </w:rPr>
        <w:t>Ministero dell’Istruzione, dell’Università e della Ricerca</w:t>
      </w:r>
    </w:p>
    <w:p w14:paraId="396E7FE0" w14:textId="2ABE0848" w:rsidR="0048235C" w:rsidRDefault="003F6C1C">
      <w:pPr>
        <w:spacing w:after="0"/>
        <w:jc w:val="center"/>
      </w:pPr>
      <w:r>
        <w:t xml:space="preserve"> </w:t>
      </w:r>
      <w:r w:rsidRPr="00C416D5">
        <w:t>Direzione Generale per gli Ordinamenti Scolastici e la Valutazione del Sistema Nazionale di Istruzione</w:t>
      </w:r>
    </w:p>
    <w:p w14:paraId="3E587C5C" w14:textId="55B2ECCA" w:rsidR="008A0BE2" w:rsidRDefault="0048235C" w:rsidP="0048235C">
      <w:pPr>
        <w:spacing w:after="0"/>
      </w:pPr>
      <w:r>
        <w:rPr>
          <w:rFonts w:ascii="Times New Roman" w:hAnsi="Times New Roman" w:cs="Times New Roman"/>
          <w:b/>
          <w:noProof/>
          <w:sz w:val="24"/>
          <w:szCs w:val="24"/>
          <w:lang w:eastAsia="it-IT"/>
        </w:rPr>
        <w:drawing>
          <wp:anchor distT="0" distB="0" distL="0" distR="0" simplePos="0" relativeHeight="251662336" behindDoc="0" locked="0" layoutInCell="1" allowOverlap="1" wp14:anchorId="54DEB560" wp14:editId="496FEF72">
            <wp:simplePos x="0" y="0"/>
            <wp:positionH relativeFrom="character">
              <wp:posOffset>169545</wp:posOffset>
            </wp:positionH>
            <wp:positionV relativeFrom="paragraph">
              <wp:posOffset>12065</wp:posOffset>
            </wp:positionV>
            <wp:extent cx="853440" cy="877570"/>
            <wp:effectExtent l="0" t="0" r="3810" b="0"/>
            <wp:wrapSquare wrapText="bothSides"/>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cstate="print"/>
                    <a:srcRect/>
                    <a:stretch>
                      <a:fillRect/>
                    </a:stretch>
                  </pic:blipFill>
                  <pic:spPr bwMode="auto">
                    <a:xfrm>
                      <a:off x="0" y="0"/>
                      <a:ext cx="853440" cy="877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eastAsia="it-IT"/>
        </w:rPr>
        <w:drawing>
          <wp:anchor distT="0" distB="0" distL="0" distR="0" simplePos="0" relativeHeight="251659264" behindDoc="1" locked="0" layoutInCell="1" allowOverlap="1" wp14:anchorId="1AFB9340" wp14:editId="45520815">
            <wp:simplePos x="0" y="0"/>
            <wp:positionH relativeFrom="character">
              <wp:posOffset>4182745</wp:posOffset>
            </wp:positionH>
            <wp:positionV relativeFrom="line">
              <wp:posOffset>76581</wp:posOffset>
            </wp:positionV>
            <wp:extent cx="786384" cy="740925"/>
            <wp:effectExtent l="0" t="0" r="0" b="2540"/>
            <wp:wrapNone/>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814698" cy="767603"/>
                    </a:xfrm>
                    <a:prstGeom prst="rect">
                      <a:avLst/>
                    </a:prstGeom>
                    <a:noFill/>
                    <a:ln w="9525">
                      <a:noFill/>
                      <a:miter lim="800000"/>
                      <a:headEnd/>
                      <a:tailEnd/>
                    </a:ln>
                  </pic:spPr>
                </pic:pic>
              </a:graphicData>
            </a:graphic>
            <wp14:sizeRelH relativeFrom="margin">
              <wp14:pctWidth>0</wp14:pctWidth>
            </wp14:sizeRelH>
          </wp:anchor>
        </w:drawing>
      </w:r>
    </w:p>
    <w:p w14:paraId="19F85CC5" w14:textId="0A5A20AF" w:rsidR="0048235C" w:rsidRPr="0048235C" w:rsidRDefault="0048235C">
      <w:r>
        <w:t xml:space="preserve">              </w:t>
      </w:r>
      <w:r>
        <w:rPr>
          <w:noProof/>
          <w:lang w:eastAsia="it-IT"/>
        </w:rPr>
        <w:t xml:space="preserve">                                            </w:t>
      </w:r>
      <w:r w:rsidRPr="00C965F7">
        <w:rPr>
          <w:noProof/>
          <w:lang w:eastAsia="it-IT"/>
        </w:rPr>
        <w:drawing>
          <wp:inline distT="0" distB="0" distL="0" distR="0" wp14:anchorId="4DD0A019" wp14:editId="02F33BF3">
            <wp:extent cx="786026" cy="86436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540" cy="955099"/>
                    </a:xfrm>
                    <a:prstGeom prst="rect">
                      <a:avLst/>
                    </a:prstGeom>
                    <a:noFill/>
                    <a:ln>
                      <a:noFill/>
                    </a:ln>
                  </pic:spPr>
                </pic:pic>
              </a:graphicData>
            </a:graphic>
          </wp:inline>
        </w:drawing>
      </w:r>
    </w:p>
    <w:p w14:paraId="301B901F" w14:textId="106DE15C" w:rsidR="008A0BE2" w:rsidRPr="0048235C" w:rsidRDefault="005E5ADB">
      <w:pPr>
        <w:rPr>
          <w:rFonts w:ascii="Times New Roman" w:hAnsi="Times New Roman" w:cs="Times New Roman"/>
          <w:b/>
          <w:sz w:val="24"/>
          <w:szCs w:val="24"/>
        </w:rPr>
      </w:pPr>
      <w:r>
        <w:rPr>
          <w:rFonts w:ascii="Times New Roman" w:hAnsi="Times New Roman" w:cs="Times New Roman"/>
          <w:b/>
          <w:sz w:val="20"/>
          <w:szCs w:val="20"/>
        </w:rPr>
        <w:t>Società Astronomica Italiana</w:t>
      </w:r>
      <w:r>
        <w:rPr>
          <w:rFonts w:ascii="Times New Roman" w:hAnsi="Times New Roman" w:cs="Times New Roman"/>
          <w:b/>
          <w:sz w:val="24"/>
          <w:szCs w:val="24"/>
        </w:rPr>
        <w:t xml:space="preserve">       </w:t>
      </w:r>
      <w:r w:rsidR="0048235C">
        <w:rPr>
          <w:rFonts w:ascii="Times New Roman" w:hAnsi="Times New Roman" w:cs="Times New Roman"/>
          <w:b/>
          <w:sz w:val="24"/>
          <w:szCs w:val="24"/>
        </w:rPr>
        <w:t xml:space="preserve">                                                                  </w:t>
      </w:r>
      <w:r w:rsidR="0048235C">
        <w:rPr>
          <w:rFonts w:ascii="Times New Roman" w:hAnsi="Times New Roman" w:cs="Times New Roman"/>
          <w:b/>
          <w:sz w:val="20"/>
          <w:szCs w:val="20"/>
        </w:rPr>
        <w:t xml:space="preserve">Istituto </w:t>
      </w:r>
      <w:r>
        <w:rPr>
          <w:rFonts w:ascii="Times New Roman" w:hAnsi="Times New Roman" w:cs="Times New Roman"/>
          <w:b/>
          <w:sz w:val="20"/>
          <w:szCs w:val="20"/>
        </w:rPr>
        <w:t>Nazionale di Astrofisica</w:t>
      </w:r>
    </w:p>
    <w:p w14:paraId="0D7CBB19" w14:textId="77777777" w:rsidR="0048235C" w:rsidRDefault="0048235C">
      <w:pPr>
        <w:rPr>
          <w:rFonts w:ascii="Times New Roman" w:hAnsi="Times New Roman" w:cs="Times New Roman"/>
          <w:b/>
          <w:sz w:val="20"/>
          <w:szCs w:val="20"/>
        </w:rPr>
      </w:pPr>
    </w:p>
    <w:p w14:paraId="05227126" w14:textId="77777777" w:rsidR="0048235C" w:rsidRDefault="0048235C">
      <w:pPr>
        <w:rPr>
          <w:rFonts w:ascii="Times New Roman" w:hAnsi="Times New Roman" w:cs="Times New Roman"/>
          <w:b/>
          <w:sz w:val="20"/>
          <w:szCs w:val="20"/>
        </w:rPr>
      </w:pPr>
    </w:p>
    <w:p w14:paraId="155B61B9" w14:textId="77777777" w:rsidR="0048235C" w:rsidRDefault="0048235C">
      <w:pPr>
        <w:rPr>
          <w:rFonts w:ascii="Times New Roman" w:hAnsi="Times New Roman" w:cs="Times New Roman"/>
          <w:b/>
          <w:sz w:val="20"/>
          <w:szCs w:val="20"/>
        </w:rPr>
      </w:pPr>
    </w:p>
    <w:p w14:paraId="6DC0C268" w14:textId="77777777" w:rsidR="0048235C" w:rsidRDefault="0048235C"/>
    <w:p w14:paraId="2C74BB79" w14:textId="0278984A" w:rsidR="008A0BE2" w:rsidRDefault="00C965F7" w:rsidP="00C965F7">
      <w:r>
        <w:rPr>
          <w:noProof/>
          <w:lang w:eastAsia="it-IT"/>
        </w:rPr>
        <w:t xml:space="preserve">                                          </w:t>
      </w:r>
      <w:r w:rsidR="0048235C">
        <w:rPr>
          <w:noProof/>
          <w:lang w:eastAsia="it-IT"/>
        </w:rPr>
        <w:t xml:space="preserve">               </w:t>
      </w:r>
      <w:r>
        <w:rPr>
          <w:noProof/>
          <w:lang w:eastAsia="it-IT"/>
        </w:rPr>
        <w:t xml:space="preserve">               </w:t>
      </w:r>
      <w:r w:rsidRPr="00C965F7">
        <w:rPr>
          <w:noProof/>
          <w:lang w:eastAsia="it-IT"/>
        </w:rPr>
        <w:drawing>
          <wp:inline distT="0" distB="0" distL="0" distR="0" wp14:anchorId="4E939A16" wp14:editId="29129A4A">
            <wp:extent cx="1119780" cy="1022985"/>
            <wp:effectExtent l="0" t="0" r="4445"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6569" cy="1038323"/>
                    </a:xfrm>
                    <a:prstGeom prst="rect">
                      <a:avLst/>
                    </a:prstGeom>
                    <a:noFill/>
                    <a:ln>
                      <a:noFill/>
                    </a:ln>
                  </pic:spPr>
                </pic:pic>
              </a:graphicData>
            </a:graphic>
          </wp:inline>
        </w:drawing>
      </w:r>
      <w:r>
        <w:br w:type="textWrapping" w:clear="all"/>
      </w:r>
    </w:p>
    <w:p w14:paraId="1548CC01" w14:textId="1B657784" w:rsidR="008A0BE2" w:rsidRPr="00683DBE" w:rsidRDefault="00C35739">
      <w:pPr>
        <w:spacing w:line="100" w:lineRule="atLeast"/>
        <w:jc w:val="center"/>
        <w:rPr>
          <w:sz w:val="28"/>
          <w:szCs w:val="28"/>
        </w:rPr>
      </w:pPr>
      <w:r>
        <w:rPr>
          <w:rFonts w:ascii="Times New Roman" w:hAnsi="Times New Roman" w:cs="Times New Roman"/>
          <w:b/>
          <w:sz w:val="28"/>
          <w:szCs w:val="28"/>
        </w:rPr>
        <w:t>X</w:t>
      </w:r>
      <w:r w:rsidR="005E5ADB" w:rsidRPr="00683DBE">
        <w:rPr>
          <w:rFonts w:ascii="Times New Roman" w:hAnsi="Times New Roman" w:cs="Times New Roman"/>
          <w:b/>
          <w:sz w:val="28"/>
          <w:szCs w:val="28"/>
        </w:rPr>
        <w:t>V</w:t>
      </w:r>
      <w:r w:rsidR="002760E1">
        <w:rPr>
          <w:rFonts w:ascii="Times New Roman" w:hAnsi="Times New Roman" w:cs="Times New Roman"/>
          <w:b/>
          <w:sz w:val="28"/>
          <w:szCs w:val="28"/>
        </w:rPr>
        <w:t>I</w:t>
      </w:r>
      <w:r w:rsidR="005E5ADB" w:rsidRPr="00683DBE">
        <w:rPr>
          <w:rFonts w:ascii="Times New Roman" w:hAnsi="Times New Roman" w:cs="Times New Roman"/>
          <w:b/>
          <w:sz w:val="28"/>
          <w:szCs w:val="28"/>
        </w:rPr>
        <w:t xml:space="preserve"> Settimana Nazionale dell’Astronomia</w:t>
      </w:r>
    </w:p>
    <w:p w14:paraId="24C6FAF0" w14:textId="51C45808" w:rsidR="008A0BE2" w:rsidRDefault="0048235C">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 13 - 20</w:t>
      </w:r>
      <w:r w:rsidR="005E5ADB" w:rsidRPr="00683DBE">
        <w:rPr>
          <w:rFonts w:ascii="Times New Roman" w:hAnsi="Times New Roman" w:cs="Times New Roman"/>
          <w:b/>
          <w:sz w:val="28"/>
          <w:szCs w:val="28"/>
        </w:rPr>
        <w:t xml:space="preserve"> Aprile 201</w:t>
      </w:r>
      <w:r>
        <w:rPr>
          <w:rFonts w:ascii="Times New Roman" w:hAnsi="Times New Roman" w:cs="Times New Roman"/>
          <w:b/>
          <w:sz w:val="28"/>
          <w:szCs w:val="28"/>
        </w:rPr>
        <w:t>5</w:t>
      </w:r>
    </w:p>
    <w:p w14:paraId="16913C8A" w14:textId="44B869FA" w:rsidR="00B44E95" w:rsidRPr="00B44E95" w:rsidRDefault="00B44E95" w:rsidP="00B44E95">
      <w:pPr>
        <w:tabs>
          <w:tab w:val="clear" w:pos="708"/>
        </w:tabs>
        <w:suppressAutoHyphens w:val="0"/>
        <w:autoSpaceDE w:val="0"/>
        <w:autoSpaceDN w:val="0"/>
        <w:adjustRightInd w:val="0"/>
        <w:spacing w:after="0" w:line="240" w:lineRule="auto"/>
        <w:rPr>
          <w:rFonts w:ascii="Times New Roman" w:eastAsiaTheme="minorEastAsia" w:hAnsi="Times New Roman" w:cs="Times New Roman"/>
          <w:b/>
          <w:bCs/>
          <w:sz w:val="32"/>
          <w:szCs w:val="32"/>
          <w:lang w:eastAsia="it-IT"/>
        </w:rPr>
      </w:pPr>
      <w:r>
        <w:rPr>
          <w:rFonts w:ascii="Times New Roman" w:eastAsiaTheme="minorEastAsia" w:hAnsi="Times New Roman" w:cs="Times New Roman"/>
          <w:b/>
          <w:bCs/>
          <w:sz w:val="32"/>
          <w:szCs w:val="32"/>
          <w:lang w:eastAsia="it-IT"/>
        </w:rPr>
        <w:t xml:space="preserve">                    </w:t>
      </w:r>
      <w:r w:rsidRPr="00B44E95">
        <w:rPr>
          <w:rFonts w:ascii="Times New Roman" w:eastAsiaTheme="minorEastAsia" w:hAnsi="Times New Roman" w:cs="Times New Roman"/>
          <w:b/>
          <w:bCs/>
          <w:sz w:val="32"/>
          <w:szCs w:val="32"/>
          <w:lang w:eastAsia="it-IT"/>
        </w:rPr>
        <w:t xml:space="preserve"> “Mi illumino di meno…per rivedere le stelle” </w:t>
      </w:r>
    </w:p>
    <w:p w14:paraId="270A8897" w14:textId="77777777" w:rsidR="00B44E95" w:rsidRPr="00B44E95" w:rsidRDefault="00B44E95" w:rsidP="00B44E95">
      <w:pPr>
        <w:tabs>
          <w:tab w:val="clear" w:pos="708"/>
        </w:tabs>
        <w:suppressAutoHyphens w:val="0"/>
        <w:autoSpaceDE w:val="0"/>
        <w:autoSpaceDN w:val="0"/>
        <w:adjustRightInd w:val="0"/>
        <w:spacing w:after="0" w:line="240" w:lineRule="auto"/>
        <w:rPr>
          <w:rFonts w:ascii="Times New Roman" w:eastAsiaTheme="minorEastAsia" w:hAnsi="Times New Roman" w:cs="Times New Roman"/>
          <w:b/>
          <w:bCs/>
          <w:sz w:val="32"/>
          <w:szCs w:val="32"/>
          <w:lang w:eastAsia="it-IT"/>
        </w:rPr>
      </w:pPr>
      <w:r w:rsidRPr="00B44E95">
        <w:rPr>
          <w:rFonts w:ascii="Times New Roman" w:eastAsiaTheme="minorEastAsia" w:hAnsi="Times New Roman" w:cs="Times New Roman"/>
          <w:b/>
          <w:bCs/>
          <w:sz w:val="32"/>
          <w:szCs w:val="32"/>
          <w:lang w:eastAsia="it-IT"/>
        </w:rPr>
        <w:t xml:space="preserve"> </w:t>
      </w:r>
    </w:p>
    <w:p w14:paraId="74720006" w14:textId="250D97BC" w:rsidR="00B44E95" w:rsidRDefault="00B44E95" w:rsidP="00B44E95">
      <w:pPr>
        <w:tabs>
          <w:tab w:val="clear" w:pos="708"/>
        </w:tabs>
        <w:suppressAutoHyphens w:val="0"/>
        <w:autoSpaceDE w:val="0"/>
        <w:autoSpaceDN w:val="0"/>
        <w:adjustRightInd w:val="0"/>
        <w:spacing w:after="0" w:line="240" w:lineRule="auto"/>
        <w:rPr>
          <w:rFonts w:ascii="Times New Roman" w:eastAsiaTheme="minorEastAsia" w:hAnsi="Times New Roman" w:cs="Times New Roman"/>
          <w:b/>
          <w:bCs/>
          <w:sz w:val="24"/>
          <w:szCs w:val="24"/>
          <w:lang w:eastAsia="it-IT"/>
        </w:rPr>
      </w:pPr>
      <w:r>
        <w:rPr>
          <w:rFonts w:ascii="Times New Roman" w:eastAsiaTheme="minorEastAsia" w:hAnsi="Times New Roman" w:cs="Times New Roman"/>
          <w:b/>
          <w:bCs/>
          <w:sz w:val="24"/>
          <w:szCs w:val="24"/>
          <w:lang w:eastAsia="it-IT"/>
        </w:rPr>
        <w:t xml:space="preserve">                                          Monitoraggio dell’inquinamento luminoso</w:t>
      </w:r>
    </w:p>
    <w:p w14:paraId="71C66EEA" w14:textId="77777777" w:rsidR="00B44E95" w:rsidRDefault="00B44E95" w:rsidP="00B44E95">
      <w:pPr>
        <w:tabs>
          <w:tab w:val="clear" w:pos="708"/>
        </w:tabs>
        <w:suppressAutoHyphens w:val="0"/>
        <w:autoSpaceDE w:val="0"/>
        <w:autoSpaceDN w:val="0"/>
        <w:adjustRightInd w:val="0"/>
        <w:spacing w:after="0" w:line="240" w:lineRule="auto"/>
        <w:rPr>
          <w:rFonts w:ascii="Times New Roman" w:eastAsiaTheme="minorEastAsia" w:hAnsi="Times New Roman" w:cs="Times New Roman"/>
          <w:b/>
          <w:bCs/>
          <w:sz w:val="24"/>
          <w:szCs w:val="24"/>
          <w:lang w:eastAsia="it-IT"/>
        </w:rPr>
      </w:pPr>
    </w:p>
    <w:p w14:paraId="569774F2" w14:textId="77777777" w:rsidR="00B44E95" w:rsidRPr="00B44E95" w:rsidRDefault="00B44E95" w:rsidP="00B44E95">
      <w:pPr>
        <w:tabs>
          <w:tab w:val="clear" w:pos="708"/>
        </w:tabs>
        <w:suppressAutoHyphens w:val="0"/>
        <w:autoSpaceDE w:val="0"/>
        <w:autoSpaceDN w:val="0"/>
        <w:adjustRightInd w:val="0"/>
        <w:spacing w:after="0" w:line="240" w:lineRule="auto"/>
        <w:rPr>
          <w:rFonts w:ascii="Times New Roman" w:eastAsiaTheme="minorEastAsia" w:hAnsi="Times New Roman" w:cs="Times New Roman"/>
          <w:b/>
          <w:bCs/>
          <w:sz w:val="24"/>
          <w:szCs w:val="24"/>
          <w:lang w:eastAsia="it-IT"/>
        </w:rPr>
      </w:pPr>
    </w:p>
    <w:p w14:paraId="02A86E40" w14:textId="77777777" w:rsidR="00683DBE" w:rsidRPr="00683DBE" w:rsidRDefault="00683DBE" w:rsidP="00683DBE">
      <w:pPr>
        <w:pStyle w:val="Nessunaspaziatura"/>
        <w:jc w:val="both"/>
        <w:rPr>
          <w:rFonts w:ascii="Times New Roman" w:hAnsi="Times New Roman"/>
        </w:rPr>
      </w:pPr>
      <w:r w:rsidRPr="00683DBE">
        <w:rPr>
          <w:rFonts w:ascii="Times New Roman" w:hAnsi="Times New Roman"/>
        </w:rPr>
        <w:t>Nel 2002 scienziati e astronomi di tutto il mondo hanno lanciato un appello all’UNESCO e all’ONU affinché il cielo notturno diventasse patrimonio dell’umanità. A sottoscriverlo sono stati, oltre all’IAU (Unione Astronomica Internazionale), numerosi centri di ricerca, osservatori astronomici ed enti quali l’International Dark-</w:t>
      </w:r>
      <w:proofErr w:type="spellStart"/>
      <w:r w:rsidRPr="00683DBE">
        <w:rPr>
          <w:rFonts w:ascii="Times New Roman" w:hAnsi="Times New Roman"/>
        </w:rPr>
        <w:t>Sky</w:t>
      </w:r>
      <w:proofErr w:type="spellEnd"/>
      <w:r w:rsidRPr="00683DBE">
        <w:rPr>
          <w:rFonts w:ascii="Times New Roman" w:hAnsi="Times New Roman"/>
        </w:rPr>
        <w:t xml:space="preserve"> </w:t>
      </w:r>
      <w:proofErr w:type="spellStart"/>
      <w:r w:rsidRPr="00683DBE">
        <w:rPr>
          <w:rFonts w:ascii="Times New Roman" w:hAnsi="Times New Roman"/>
        </w:rPr>
        <w:t>Association</w:t>
      </w:r>
      <w:proofErr w:type="spellEnd"/>
      <w:r w:rsidRPr="00683DBE">
        <w:rPr>
          <w:rFonts w:ascii="Times New Roman" w:hAnsi="Times New Roman"/>
        </w:rPr>
        <w:t xml:space="preserve"> che riunisce tutte le associazioni che combattono l’inquinamento luminoso nelle diverse nazioni. </w:t>
      </w:r>
    </w:p>
    <w:p w14:paraId="129A4E97" w14:textId="77777777" w:rsidR="00683DBE" w:rsidRPr="00683DBE" w:rsidRDefault="00683DBE" w:rsidP="00683DBE">
      <w:pPr>
        <w:pStyle w:val="Nessunaspaziatura"/>
        <w:jc w:val="both"/>
        <w:rPr>
          <w:rFonts w:ascii="Times New Roman" w:hAnsi="Times New Roman"/>
        </w:rPr>
      </w:pPr>
      <w:r w:rsidRPr="00683DBE">
        <w:rPr>
          <w:rFonts w:ascii="Times New Roman" w:hAnsi="Times New Roman"/>
        </w:rPr>
        <w:t xml:space="preserve">Solo in Italia esso aumenta del 10% l’anno. </w:t>
      </w:r>
    </w:p>
    <w:p w14:paraId="44C5C4D1" w14:textId="77777777" w:rsidR="00683DBE" w:rsidRPr="00683DBE" w:rsidRDefault="00683DBE" w:rsidP="00683DBE">
      <w:pPr>
        <w:pStyle w:val="Nessunaspaziatura"/>
        <w:jc w:val="both"/>
        <w:rPr>
          <w:rFonts w:ascii="Times New Roman" w:hAnsi="Times New Roman"/>
        </w:rPr>
      </w:pPr>
      <w:r w:rsidRPr="00683DBE">
        <w:rPr>
          <w:rFonts w:ascii="Times New Roman" w:hAnsi="Times New Roman"/>
        </w:rPr>
        <w:t xml:space="preserve">Di questo passo, sostengono gli esperti, nel 2025 non riusciremo più a vedere le stelle di notte. E’ interesse comune non solo culturale ma anche economico quello di ridurre l’inquinamento luminoso: sapendo illuminare correttamente equivale anche a risparmiare energia. </w:t>
      </w:r>
    </w:p>
    <w:p w14:paraId="721C5BD4" w14:textId="45C2A8C8" w:rsidR="00683DBE" w:rsidRPr="00683DBE" w:rsidRDefault="00683DBE" w:rsidP="00683DBE">
      <w:pPr>
        <w:pStyle w:val="Nessunaspaziatura"/>
        <w:jc w:val="both"/>
        <w:rPr>
          <w:rFonts w:ascii="Times New Roman" w:hAnsi="Times New Roman"/>
        </w:rPr>
      </w:pPr>
      <w:r w:rsidRPr="00683DBE">
        <w:rPr>
          <w:rFonts w:ascii="Times New Roman" w:hAnsi="Times New Roman"/>
        </w:rPr>
        <w:t>Alla luce di tutto questo la problematica relativa all’inquinamento luminoso è stata inserita tra le attività proposte per la XV</w:t>
      </w:r>
      <w:r w:rsidR="00EE4CEB">
        <w:rPr>
          <w:rFonts w:ascii="Times New Roman" w:hAnsi="Times New Roman"/>
        </w:rPr>
        <w:t>I</w:t>
      </w:r>
      <w:r w:rsidRPr="00683DBE">
        <w:rPr>
          <w:rFonts w:ascii="Times New Roman" w:hAnsi="Times New Roman"/>
        </w:rPr>
        <w:t xml:space="preserve"> Settimana dell’Astronomia.</w:t>
      </w:r>
    </w:p>
    <w:p w14:paraId="44FBCAB4" w14:textId="77777777" w:rsidR="00683DBE" w:rsidRPr="00683DBE" w:rsidRDefault="00683DBE" w:rsidP="00683DBE">
      <w:pPr>
        <w:pStyle w:val="Nessunaspaziatura"/>
        <w:jc w:val="both"/>
        <w:rPr>
          <w:rFonts w:ascii="Times New Roman" w:hAnsi="Times New Roman"/>
        </w:rPr>
      </w:pPr>
      <w:r w:rsidRPr="00683DBE">
        <w:rPr>
          <w:rFonts w:ascii="Times New Roman" w:hAnsi="Times New Roman"/>
        </w:rPr>
        <w:t xml:space="preserve">Il Planetario Provinciale Pythagoras - Sezione Calabria della Società Astronomica Italiana è la struttura indicata per raccogliere i dati del monitoraggio effettuato dagli allievi. </w:t>
      </w:r>
    </w:p>
    <w:p w14:paraId="0A9C2A72" w14:textId="77777777" w:rsidR="00683DBE" w:rsidRDefault="00683DBE" w:rsidP="00683DBE">
      <w:pPr>
        <w:pStyle w:val="Nessunaspaziatura"/>
        <w:jc w:val="both"/>
        <w:rPr>
          <w:rFonts w:ascii="Times New Roman" w:hAnsi="Times New Roman"/>
        </w:rPr>
      </w:pPr>
      <w:r w:rsidRPr="00683DBE">
        <w:rPr>
          <w:rFonts w:ascii="Times New Roman" w:hAnsi="Times New Roman"/>
        </w:rPr>
        <w:t>Le modalità che quest’anno vengono suggerite sono due:</w:t>
      </w:r>
    </w:p>
    <w:p w14:paraId="3D255B8C" w14:textId="77777777" w:rsidR="0048235C" w:rsidRDefault="0048235C" w:rsidP="00683DBE">
      <w:pPr>
        <w:pStyle w:val="Nessunaspaziatura"/>
        <w:jc w:val="both"/>
        <w:rPr>
          <w:rFonts w:ascii="Times New Roman" w:hAnsi="Times New Roman"/>
        </w:rPr>
      </w:pPr>
    </w:p>
    <w:p w14:paraId="5D35DC32" w14:textId="77777777" w:rsidR="0048235C" w:rsidRPr="00683DBE" w:rsidRDefault="0048235C" w:rsidP="00683DBE">
      <w:pPr>
        <w:pStyle w:val="Nessunaspaziatura"/>
        <w:jc w:val="both"/>
        <w:rPr>
          <w:rFonts w:ascii="Times New Roman" w:hAnsi="Times New Roman"/>
        </w:rPr>
      </w:pPr>
    </w:p>
    <w:p w14:paraId="2414FCBB" w14:textId="77777777" w:rsidR="00683DBE" w:rsidRPr="00683DBE" w:rsidRDefault="00683DBE" w:rsidP="00683DBE">
      <w:pPr>
        <w:pStyle w:val="Nessunaspaziatura"/>
        <w:numPr>
          <w:ilvl w:val="0"/>
          <w:numId w:val="3"/>
        </w:numPr>
        <w:jc w:val="both"/>
        <w:rPr>
          <w:rFonts w:ascii="Times New Roman" w:hAnsi="Times New Roman"/>
        </w:rPr>
      </w:pPr>
      <w:r w:rsidRPr="00683DBE">
        <w:rPr>
          <w:rFonts w:ascii="Times New Roman" w:hAnsi="Times New Roman"/>
        </w:rPr>
        <w:t>Fare rife</w:t>
      </w:r>
      <w:r w:rsidR="00344ECE">
        <w:rPr>
          <w:rFonts w:ascii="Times New Roman" w:hAnsi="Times New Roman"/>
        </w:rPr>
        <w:t>rimento alla cartina di seguito riportata</w:t>
      </w:r>
      <w:r w:rsidRPr="00683DBE">
        <w:rPr>
          <w:rFonts w:ascii="Times New Roman" w:hAnsi="Times New Roman"/>
        </w:rPr>
        <w:t xml:space="preserve"> e seguire la procedura indicata.</w:t>
      </w:r>
    </w:p>
    <w:p w14:paraId="543056F1" w14:textId="77777777" w:rsidR="00683DBE" w:rsidRPr="00683DBE" w:rsidRDefault="00683DBE" w:rsidP="00683DBE">
      <w:pPr>
        <w:pStyle w:val="Nessunaspaziatura"/>
        <w:numPr>
          <w:ilvl w:val="0"/>
          <w:numId w:val="3"/>
        </w:numPr>
        <w:jc w:val="both"/>
        <w:rPr>
          <w:rFonts w:ascii="Times New Roman" w:hAnsi="Times New Roman"/>
        </w:rPr>
      </w:pPr>
      <w:proofErr w:type="gramStart"/>
      <w:r w:rsidRPr="00683DBE">
        <w:rPr>
          <w:rFonts w:ascii="Times New Roman" w:hAnsi="Times New Roman"/>
        </w:rPr>
        <w:t>Aderire  al</w:t>
      </w:r>
      <w:proofErr w:type="gramEnd"/>
      <w:r w:rsidRPr="00683DBE">
        <w:rPr>
          <w:rFonts w:ascii="Times New Roman" w:hAnsi="Times New Roman"/>
        </w:rPr>
        <w:t xml:space="preserve"> programma </w:t>
      </w:r>
      <w:r w:rsidRPr="00683DBE">
        <w:rPr>
          <w:rFonts w:ascii="Times New Roman" w:hAnsi="Times New Roman"/>
          <w:b/>
        </w:rPr>
        <w:t>Globe at Night</w:t>
      </w:r>
      <w:r w:rsidRPr="00683DBE">
        <w:rPr>
          <w:rFonts w:ascii="Times New Roman" w:hAnsi="Times New Roman"/>
        </w:rPr>
        <w:t xml:space="preserve"> (</w:t>
      </w:r>
      <w:hyperlink r:id="rId10" w:history="1">
        <w:r w:rsidRPr="00683DBE">
          <w:rPr>
            <w:rStyle w:val="Collegamentoipertestuale"/>
            <w:rFonts w:ascii="Times New Roman" w:hAnsi="Times New Roman"/>
          </w:rPr>
          <w:t>http://www.globeatnight.org</w:t>
        </w:r>
      </w:hyperlink>
      <w:r w:rsidRPr="00683DBE">
        <w:rPr>
          <w:rFonts w:ascii="Times New Roman" w:hAnsi="Times New Roman"/>
        </w:rPr>
        <w:t>) .</w:t>
      </w:r>
    </w:p>
    <w:p w14:paraId="5D84408D" w14:textId="77777777" w:rsidR="00683DBE" w:rsidRPr="00683DBE" w:rsidRDefault="00683DBE" w:rsidP="00683DBE">
      <w:pPr>
        <w:pStyle w:val="Nessunaspaziatura"/>
        <w:jc w:val="both"/>
        <w:rPr>
          <w:rFonts w:ascii="Times New Roman" w:hAnsi="Times New Roman"/>
        </w:rPr>
      </w:pPr>
      <w:r w:rsidRPr="00683DBE">
        <w:rPr>
          <w:rFonts w:ascii="Times New Roman" w:hAnsi="Times New Roman"/>
        </w:rPr>
        <w:t xml:space="preserve">Collegandosi al </w:t>
      </w:r>
      <w:hyperlink r:id="rId11" w:history="1">
        <w:r w:rsidRPr="00683DBE">
          <w:rPr>
            <w:rStyle w:val="Collegamentoipertestuale"/>
            <w:rFonts w:ascii="Times New Roman" w:hAnsi="Times New Roman"/>
          </w:rPr>
          <w:t>http://www.globeatnight.org/about.php</w:t>
        </w:r>
      </w:hyperlink>
      <w:r w:rsidRPr="00683DBE">
        <w:rPr>
          <w:rFonts w:ascii="Times New Roman" w:hAnsi="Times New Roman"/>
        </w:rPr>
        <w:t>) si trovano le date consigliate e la modalità di partecipazione alla campagna osservativa.</w:t>
      </w:r>
    </w:p>
    <w:p w14:paraId="35AD5BBB" w14:textId="77777777" w:rsidR="00683DBE" w:rsidRPr="00683DBE" w:rsidRDefault="00683DBE" w:rsidP="00683DBE">
      <w:pPr>
        <w:pStyle w:val="Nessunaspaziatura"/>
        <w:rPr>
          <w:rFonts w:ascii="Times New Roman" w:hAnsi="Times New Roman"/>
        </w:rPr>
      </w:pPr>
      <w:r w:rsidRPr="00683DBE">
        <w:rPr>
          <w:rFonts w:ascii="Times New Roman" w:hAnsi="Times New Roman"/>
        </w:rPr>
        <w:t xml:space="preserve">Le due modalità non </w:t>
      </w:r>
      <w:proofErr w:type="gramStart"/>
      <w:r w:rsidRPr="00683DBE">
        <w:rPr>
          <w:rFonts w:ascii="Times New Roman" w:hAnsi="Times New Roman"/>
        </w:rPr>
        <w:t>sono  alternative</w:t>
      </w:r>
      <w:proofErr w:type="gramEnd"/>
      <w:r w:rsidRPr="00683DBE">
        <w:rPr>
          <w:rFonts w:ascii="Times New Roman" w:hAnsi="Times New Roman"/>
        </w:rPr>
        <w:t xml:space="preserve"> ; gli allievi possono cimentarsi con entrambe le modalità.</w:t>
      </w:r>
    </w:p>
    <w:p w14:paraId="56A4EE19" w14:textId="791E5310" w:rsidR="00683DBE" w:rsidRPr="00683DBE" w:rsidRDefault="00683DBE" w:rsidP="00683DBE">
      <w:pPr>
        <w:pStyle w:val="Nessunaspaziatura"/>
        <w:jc w:val="both"/>
        <w:rPr>
          <w:rFonts w:ascii="Times New Roman" w:hAnsi="Times New Roman"/>
        </w:rPr>
      </w:pPr>
      <w:r w:rsidRPr="00683DBE">
        <w:rPr>
          <w:rFonts w:ascii="Times New Roman" w:hAnsi="Times New Roman"/>
        </w:rPr>
        <w:t xml:space="preserve">Le osservazioni non sono </w:t>
      </w:r>
      <w:r w:rsidR="00344ECE">
        <w:rPr>
          <w:rFonts w:ascii="Times New Roman" w:hAnsi="Times New Roman"/>
        </w:rPr>
        <w:t>limitare al periodo della</w:t>
      </w:r>
      <w:r w:rsidRPr="00683DBE">
        <w:rPr>
          <w:rFonts w:ascii="Times New Roman" w:hAnsi="Times New Roman"/>
        </w:rPr>
        <w:t xml:space="preserve"> Settimana dell’Astronomia ma potranno protrar</w:t>
      </w:r>
      <w:r w:rsidR="002760E1">
        <w:rPr>
          <w:rFonts w:ascii="Times New Roman" w:hAnsi="Times New Roman"/>
        </w:rPr>
        <w:t>si nei mesi fino a Novembre 2015</w:t>
      </w:r>
      <w:r w:rsidRPr="00683DBE">
        <w:rPr>
          <w:rFonts w:ascii="Times New Roman" w:hAnsi="Times New Roman"/>
        </w:rPr>
        <w:t>.</w:t>
      </w:r>
    </w:p>
    <w:p w14:paraId="104F14C5" w14:textId="77777777" w:rsidR="00683DBE" w:rsidRPr="00683DBE" w:rsidRDefault="00683DBE" w:rsidP="00683DBE">
      <w:pPr>
        <w:pStyle w:val="Nessunaspaziatura"/>
        <w:jc w:val="both"/>
        <w:rPr>
          <w:rFonts w:ascii="Times New Roman" w:hAnsi="Times New Roman"/>
        </w:rPr>
      </w:pPr>
      <w:r w:rsidRPr="00683DBE">
        <w:rPr>
          <w:rFonts w:ascii="Times New Roman" w:hAnsi="Times New Roman"/>
        </w:rPr>
        <w:t>I dati pervenuti saranno resi noti nel mese di Dicembre-</w:t>
      </w:r>
    </w:p>
    <w:p w14:paraId="44DC7B52" w14:textId="77777777" w:rsidR="00683DBE" w:rsidRPr="00683DBE" w:rsidRDefault="00683DBE" w:rsidP="00683DBE">
      <w:pPr>
        <w:pStyle w:val="Nessunaspaziatura"/>
        <w:jc w:val="both"/>
        <w:rPr>
          <w:rFonts w:ascii="Times New Roman" w:hAnsi="Times New Roman"/>
        </w:rPr>
      </w:pPr>
      <w:r w:rsidRPr="00683DBE">
        <w:rPr>
          <w:rFonts w:ascii="Times New Roman" w:hAnsi="Times New Roman"/>
        </w:rPr>
        <w:t>Gli allievi, tre per ogni ordin</w:t>
      </w:r>
      <w:r w:rsidR="00344ECE">
        <w:rPr>
          <w:rFonts w:ascii="Times New Roman" w:hAnsi="Times New Roman"/>
        </w:rPr>
        <w:t>e di scuola, che hanno prodotto</w:t>
      </w:r>
      <w:r w:rsidRPr="00683DBE">
        <w:rPr>
          <w:rFonts w:ascii="Times New Roman" w:hAnsi="Times New Roman"/>
        </w:rPr>
        <w:t xml:space="preserve"> le migliori osservazioni sia dal punto di v</w:t>
      </w:r>
      <w:r w:rsidR="00344ECE">
        <w:rPr>
          <w:rFonts w:ascii="Times New Roman" w:hAnsi="Times New Roman"/>
        </w:rPr>
        <w:t>ista qualitativo e quantitativo</w:t>
      </w:r>
      <w:r w:rsidRPr="00683DBE">
        <w:rPr>
          <w:rFonts w:ascii="Times New Roman" w:hAnsi="Times New Roman"/>
        </w:rPr>
        <w:t xml:space="preserve"> saranno premiati,</w:t>
      </w:r>
      <w:r w:rsidR="00344ECE">
        <w:rPr>
          <w:rFonts w:ascii="Times New Roman" w:hAnsi="Times New Roman"/>
        </w:rPr>
        <w:t xml:space="preserve"> assieme alle rispettive scuole il 21 Dicembre</w:t>
      </w:r>
      <w:r w:rsidRPr="00683DBE">
        <w:rPr>
          <w:rFonts w:ascii="Times New Roman" w:hAnsi="Times New Roman"/>
        </w:rPr>
        <w:t xml:space="preserve"> a</w:t>
      </w:r>
      <w:r w:rsidR="00344ECE">
        <w:rPr>
          <w:rFonts w:ascii="Times New Roman" w:hAnsi="Times New Roman"/>
        </w:rPr>
        <w:t>ll’interno della manifestazione</w:t>
      </w:r>
      <w:r w:rsidRPr="00683DBE">
        <w:rPr>
          <w:rFonts w:ascii="Times New Roman" w:hAnsi="Times New Roman"/>
        </w:rPr>
        <w:t xml:space="preserve"> che annualmente il planetario organizza in occas</w:t>
      </w:r>
      <w:r w:rsidR="00344ECE">
        <w:rPr>
          <w:rFonts w:ascii="Times New Roman" w:hAnsi="Times New Roman"/>
        </w:rPr>
        <w:t>ione del solstizio d’inverno.</w:t>
      </w:r>
    </w:p>
    <w:p w14:paraId="5973C3A4" w14:textId="77777777" w:rsidR="00683DBE" w:rsidRDefault="00683DBE">
      <w:pPr>
        <w:rPr>
          <w:rFonts w:ascii="Times New Roman" w:hAnsi="Times New Roman" w:cs="Times New Roman"/>
          <w:b/>
          <w:sz w:val="24"/>
          <w:szCs w:val="24"/>
        </w:rPr>
      </w:pPr>
    </w:p>
    <w:p w14:paraId="49255606" w14:textId="77777777" w:rsidR="008A0BE2" w:rsidRDefault="005E5ADB">
      <w:r>
        <w:rPr>
          <w:rFonts w:ascii="Times New Roman" w:hAnsi="Times New Roman" w:cs="Times New Roman"/>
          <w:b/>
          <w:sz w:val="24"/>
          <w:szCs w:val="24"/>
        </w:rPr>
        <w:t xml:space="preserve">CARTINA STELLARE DEL POLO NORD CELESTE </w:t>
      </w:r>
    </w:p>
    <w:p w14:paraId="38621027" w14:textId="77777777" w:rsidR="008A0BE2" w:rsidRDefault="005E5ADB">
      <w:r>
        <w:rPr>
          <w:noProof/>
          <w:lang w:eastAsia="it-IT"/>
        </w:rPr>
        <w:drawing>
          <wp:inline distT="0" distB="0" distL="0" distR="0" wp14:anchorId="5AE1F905" wp14:editId="2A1B08AA">
            <wp:extent cx="5943600" cy="449580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14:paraId="25127831" w14:textId="77777777" w:rsidR="008A0BE2" w:rsidRDefault="005E5ADB">
      <w:r>
        <w:rPr>
          <w:rFonts w:ascii="Times New Roman" w:hAnsi="Times New Roman" w:cs="Times New Roman"/>
          <w:sz w:val="24"/>
          <w:szCs w:val="24"/>
        </w:rPr>
        <w:t xml:space="preserve">Come effettuare il monitoraggio: </w:t>
      </w:r>
    </w:p>
    <w:p w14:paraId="5099C957" w14:textId="77777777" w:rsidR="008A0BE2" w:rsidRDefault="005E5ADB">
      <w:pPr>
        <w:pStyle w:val="Paragrafoelenco"/>
        <w:numPr>
          <w:ilvl w:val="0"/>
          <w:numId w:val="1"/>
        </w:numPr>
        <w:spacing w:line="360" w:lineRule="auto"/>
        <w:ind w:left="1276" w:hanging="567"/>
      </w:pPr>
      <w:r>
        <w:rPr>
          <w:rFonts w:ascii="Times New Roman" w:hAnsi="Times New Roman" w:cs="Times New Roman"/>
          <w:sz w:val="24"/>
          <w:szCs w:val="24"/>
        </w:rPr>
        <w:t>Trovare la Stella Polare, αUMI, a partire dall’Orsa Maggiore, sul prolungamento di βUMA - αUMA (le due stelle più luminose del Grande Carro), nella direzione opposta a dove va la coda (</w:t>
      </w:r>
      <w:proofErr w:type="spellStart"/>
      <w:r>
        <w:rPr>
          <w:rFonts w:ascii="Times New Roman" w:hAnsi="Times New Roman" w:cs="Times New Roman"/>
          <w:sz w:val="24"/>
          <w:szCs w:val="24"/>
        </w:rPr>
        <w:t>δUΜΑ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ηUMA</w:t>
      </w:r>
      <w:proofErr w:type="spellEnd"/>
      <w:r>
        <w:rPr>
          <w:rFonts w:ascii="Times New Roman" w:hAnsi="Times New Roman" w:cs="Times New Roman"/>
          <w:sz w:val="24"/>
          <w:szCs w:val="24"/>
        </w:rPr>
        <w:t>);</w:t>
      </w:r>
    </w:p>
    <w:p w14:paraId="36CDEAC5" w14:textId="77777777" w:rsidR="008A0BE2" w:rsidRDefault="005E5ADB">
      <w:pPr>
        <w:pStyle w:val="Paragrafoelenco"/>
        <w:numPr>
          <w:ilvl w:val="0"/>
          <w:numId w:val="1"/>
        </w:numPr>
        <w:spacing w:line="360" w:lineRule="auto"/>
        <w:ind w:left="1276" w:hanging="567"/>
      </w:pPr>
      <w:r>
        <w:rPr>
          <w:rFonts w:ascii="Times New Roman" w:hAnsi="Times New Roman" w:cs="Times New Roman"/>
          <w:sz w:val="24"/>
          <w:szCs w:val="24"/>
        </w:rPr>
        <w:lastRenderedPageBreak/>
        <w:t xml:space="preserve">Orientare la cartina fino ad individuare le principali costellazioni circumpolari, in particolare Orsa Minore, Orsa Maggiore, Cassiopea, Drago e </w:t>
      </w:r>
      <w:proofErr w:type="spellStart"/>
      <w:r>
        <w:rPr>
          <w:rFonts w:ascii="Times New Roman" w:hAnsi="Times New Roman" w:cs="Times New Roman"/>
          <w:sz w:val="24"/>
          <w:szCs w:val="24"/>
        </w:rPr>
        <w:t>Cefeo</w:t>
      </w:r>
      <w:proofErr w:type="spellEnd"/>
      <w:r>
        <w:rPr>
          <w:rFonts w:ascii="Times New Roman" w:hAnsi="Times New Roman" w:cs="Times New Roman"/>
          <w:sz w:val="24"/>
          <w:szCs w:val="24"/>
        </w:rPr>
        <w:t xml:space="preserve">. </w:t>
      </w:r>
    </w:p>
    <w:p w14:paraId="14B44B14" w14:textId="77777777" w:rsidR="008A0BE2" w:rsidRPr="00224878" w:rsidRDefault="005E5ADB">
      <w:pPr>
        <w:pStyle w:val="Paragrafoelenco"/>
        <w:numPr>
          <w:ilvl w:val="0"/>
          <w:numId w:val="1"/>
        </w:numPr>
        <w:spacing w:line="360" w:lineRule="auto"/>
        <w:ind w:left="1276" w:hanging="567"/>
      </w:pPr>
      <w:r>
        <w:rPr>
          <w:rFonts w:ascii="Times New Roman" w:hAnsi="Times New Roman" w:cs="Times New Roman"/>
          <w:sz w:val="24"/>
          <w:szCs w:val="24"/>
        </w:rPr>
        <w:t xml:space="preserve">Individuare e cerchiare sulla cartina tutte le stelle visibili tra quelle indicate con le freccette. </w:t>
      </w:r>
    </w:p>
    <w:p w14:paraId="63B10AFE" w14:textId="77777777" w:rsidR="00224878" w:rsidRPr="00224878" w:rsidRDefault="00683DBE" w:rsidP="00224878">
      <w:pPr>
        <w:pStyle w:val="Paragrafoelenco"/>
        <w:numPr>
          <w:ilvl w:val="0"/>
          <w:numId w:val="1"/>
        </w:numPr>
        <w:spacing w:line="360" w:lineRule="auto"/>
        <w:ind w:left="1276" w:hanging="567"/>
      </w:pPr>
      <w:r w:rsidRPr="00224878">
        <w:rPr>
          <w:rFonts w:ascii="Times New Roman" w:hAnsi="Times New Roman" w:cs="Times New Roman"/>
          <w:sz w:val="24"/>
          <w:szCs w:val="24"/>
        </w:rPr>
        <w:t xml:space="preserve">E’ opportuno </w:t>
      </w:r>
      <w:r w:rsidRPr="00224878">
        <w:rPr>
          <w:rFonts w:ascii="Times New Roman" w:hAnsi="Times New Roman"/>
          <w:sz w:val="24"/>
          <w:szCs w:val="24"/>
        </w:rPr>
        <w:t xml:space="preserve">munirsi di una torcia a luce rossa di bassa intensità per consultare la cartina. </w:t>
      </w:r>
    </w:p>
    <w:p w14:paraId="19FF8C1D" w14:textId="77777777" w:rsidR="008A0BE2" w:rsidRDefault="005E5ADB" w:rsidP="00224878">
      <w:pPr>
        <w:pStyle w:val="Paragrafoelenco"/>
        <w:numPr>
          <w:ilvl w:val="0"/>
          <w:numId w:val="1"/>
        </w:numPr>
        <w:spacing w:line="360" w:lineRule="auto"/>
        <w:ind w:left="1276" w:hanging="567"/>
      </w:pPr>
      <w:r w:rsidRPr="00224878">
        <w:rPr>
          <w:rFonts w:ascii="Times New Roman" w:hAnsi="Times New Roman" w:cs="Times New Roman"/>
          <w:sz w:val="24"/>
          <w:szCs w:val="24"/>
        </w:rPr>
        <w:t>Riportare sul modulo di rilevazione le stelle osservate.</w:t>
      </w:r>
    </w:p>
    <w:p w14:paraId="7BAF0634" w14:textId="77777777" w:rsidR="008A0BE2" w:rsidRDefault="008A0BE2"/>
    <w:p w14:paraId="048DF8A6" w14:textId="77777777" w:rsidR="00683DBE" w:rsidRDefault="00683DBE">
      <w:pPr>
        <w:spacing w:after="0" w:line="360" w:lineRule="auto"/>
        <w:jc w:val="both"/>
        <w:rPr>
          <w:rFonts w:ascii="Times New Roman" w:hAnsi="Times New Roman" w:cs="Times New Roman"/>
          <w:b/>
          <w:sz w:val="24"/>
          <w:szCs w:val="24"/>
        </w:rPr>
      </w:pPr>
    </w:p>
    <w:p w14:paraId="5588A03E" w14:textId="77777777" w:rsidR="008A0BE2" w:rsidRDefault="005E5ADB">
      <w:pPr>
        <w:spacing w:after="0" w:line="360" w:lineRule="auto"/>
        <w:jc w:val="both"/>
      </w:pPr>
      <w:r>
        <w:rPr>
          <w:rFonts w:ascii="Times New Roman" w:hAnsi="Times New Roman" w:cs="Times New Roman"/>
          <w:b/>
          <w:sz w:val="24"/>
          <w:szCs w:val="24"/>
        </w:rPr>
        <w:t>Nota</w:t>
      </w:r>
    </w:p>
    <w:p w14:paraId="75783D3E" w14:textId="77777777" w:rsidR="008A0BE2" w:rsidRPr="00683DBE" w:rsidRDefault="005E5ADB">
      <w:pPr>
        <w:spacing w:after="0" w:line="360" w:lineRule="auto"/>
        <w:jc w:val="both"/>
      </w:pPr>
      <w:r>
        <w:rPr>
          <w:rFonts w:ascii="Times New Roman" w:hAnsi="Times New Roman" w:cs="Times New Roman"/>
          <w:sz w:val="24"/>
          <w:szCs w:val="24"/>
        </w:rPr>
        <w:t xml:space="preserve">Nell'antichità la luminosità apparente delle stelle, non potendo essere misurata con precisione, </w:t>
      </w:r>
      <w:r w:rsidRPr="00683DBE">
        <w:rPr>
          <w:rFonts w:ascii="Times New Roman" w:hAnsi="Times New Roman" w:cs="Times New Roman"/>
          <w:sz w:val="24"/>
          <w:szCs w:val="24"/>
        </w:rPr>
        <w:t>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stelle venivano tutte considerate alla stessa distanza, incastonate su quell’enorme sfera che costituiva la volta celeste. Era, quindi, normale pensare che una maggiore quantità di luce significasse anche una maggiore dimensione. Il termine “magnitudo” utilizzato per identificare le classi di grandezza di Ipparco sottolinea proprio questa considerazione.</w:t>
      </w:r>
    </w:p>
    <w:p w14:paraId="20D261BF" w14:textId="77777777" w:rsidR="00683DBE" w:rsidRPr="00683DBE" w:rsidRDefault="005E5ADB">
      <w:pPr>
        <w:spacing w:after="0" w:line="360" w:lineRule="auto"/>
        <w:jc w:val="both"/>
        <w:rPr>
          <w:rFonts w:ascii="Times New Roman" w:hAnsi="Times New Roman" w:cs="Times New Roman"/>
          <w:sz w:val="24"/>
          <w:szCs w:val="24"/>
        </w:rPr>
      </w:pPr>
      <w:r w:rsidRPr="00683DBE">
        <w:rPr>
          <w:rFonts w:ascii="Times New Roman" w:hAnsi="Times New Roman" w:cs="Times New Roman"/>
          <w:sz w:val="24"/>
          <w:szCs w:val="24"/>
        </w:rPr>
        <w:t xml:space="preserve">Nel 1856, </w:t>
      </w:r>
      <w:proofErr w:type="spellStart"/>
      <w:r w:rsidRPr="00683DBE">
        <w:rPr>
          <w:rFonts w:ascii="Times New Roman" w:hAnsi="Times New Roman" w:cs="Times New Roman"/>
          <w:sz w:val="24"/>
          <w:szCs w:val="24"/>
        </w:rPr>
        <w:t>Pogson</w:t>
      </w:r>
      <w:proofErr w:type="spellEnd"/>
      <w:r w:rsidRPr="00683DBE">
        <w:rPr>
          <w:rFonts w:ascii="Times New Roman" w:hAnsi="Times New Roman" w:cs="Times New Roman"/>
          <w:sz w:val="24"/>
          <w:szCs w:val="24"/>
        </w:rPr>
        <w:t xml:space="preserve"> formalizzò un sistema standard definendo una stella di prima magnitudine come una stella che fosse 100 volte più luminosa di una stella di sesta magnitudine. Poiché 2,512 è la radice quinta di 100</w:t>
      </w:r>
      <w:r w:rsidR="00683DBE" w:rsidRPr="00683DBE">
        <w:rPr>
          <w:rFonts w:ascii="Times New Roman" w:hAnsi="Times New Roman" w:cs="Times New Roman"/>
          <w:sz w:val="24"/>
          <w:szCs w:val="24"/>
        </w:rPr>
        <w:t xml:space="preserve">, </w:t>
      </w:r>
      <w:r w:rsidRPr="00683DBE">
        <w:rPr>
          <w:rFonts w:ascii="Times New Roman" w:hAnsi="Times New Roman" w:cs="Times New Roman"/>
          <w:sz w:val="24"/>
          <w:szCs w:val="24"/>
        </w:rPr>
        <w:t xml:space="preserve">conosciuta come rapporto di </w:t>
      </w:r>
      <w:proofErr w:type="spellStart"/>
      <w:r w:rsidRPr="00683DBE">
        <w:rPr>
          <w:rFonts w:ascii="Times New Roman" w:hAnsi="Times New Roman" w:cs="Times New Roman"/>
          <w:sz w:val="24"/>
          <w:szCs w:val="24"/>
        </w:rPr>
        <w:t>Pogson</w:t>
      </w:r>
      <w:proofErr w:type="spellEnd"/>
      <w:r w:rsidRPr="00683DBE">
        <w:rPr>
          <w:rFonts w:ascii="Times New Roman" w:hAnsi="Times New Roman" w:cs="Times New Roman"/>
          <w:sz w:val="24"/>
          <w:szCs w:val="24"/>
        </w:rPr>
        <w:t>, una differenza di cinque magnitudini corrisponde a una variazione di 100 volte nella luminosità: una stella di prima magnitudine è quindi 100 volte più brillante di una di sesta, la quale, a sua volta, è 100 volte più brillante di una di undicesima e così via.</w:t>
      </w:r>
    </w:p>
    <w:p w14:paraId="41FC975B" w14:textId="77777777" w:rsidR="008A0BE2" w:rsidRPr="00683DBE" w:rsidRDefault="005E5ADB">
      <w:pPr>
        <w:spacing w:after="0" w:line="360" w:lineRule="auto"/>
        <w:jc w:val="both"/>
      </w:pPr>
      <w:r w:rsidRPr="00683DBE">
        <w:rPr>
          <w:rFonts w:ascii="Times New Roman" w:hAnsi="Times New Roman" w:cs="Times New Roman"/>
          <w:sz w:val="24"/>
          <w:szCs w:val="24"/>
        </w:rPr>
        <w:t xml:space="preserve">Il vantaggio di questo particolare rapporto tra le magnitudini sta nel fatto che esso consente di conservare quasi esattamente il sistema degli antichi. </w:t>
      </w:r>
    </w:p>
    <w:p w14:paraId="12475607" w14:textId="77777777" w:rsidR="008A0BE2" w:rsidRDefault="005E5ADB">
      <w:pPr>
        <w:spacing w:after="0" w:line="360" w:lineRule="auto"/>
        <w:jc w:val="both"/>
        <w:rPr>
          <w:rFonts w:ascii="Times New Roman" w:hAnsi="Times New Roman" w:cs="Times New Roman"/>
          <w:sz w:val="24"/>
          <w:szCs w:val="24"/>
        </w:rPr>
      </w:pPr>
      <w:r w:rsidRPr="00683DBE">
        <w:rPr>
          <w:rFonts w:ascii="Times New Roman" w:hAnsi="Times New Roman" w:cs="Times New Roman"/>
          <w:sz w:val="24"/>
          <w:szCs w:val="24"/>
        </w:rPr>
        <w:t>Contrariamente a quanto il senso comune potrebbe suggerire, per le stelle più luminose il numero che indica la magnitudine è basso, per oggetti particolarmente luminosi si ricorre ai numeri negativi, mentre al diminuire della luminosità di una stella il numero che indica la magnitudine aumenta.</w:t>
      </w:r>
    </w:p>
    <w:p w14:paraId="55BC0775" w14:textId="77777777" w:rsidR="00683DBE" w:rsidRPr="00683DBE" w:rsidRDefault="00683DBE">
      <w:pPr>
        <w:spacing w:after="0" w:line="360" w:lineRule="auto"/>
        <w:jc w:val="both"/>
      </w:pPr>
    </w:p>
    <w:sectPr w:rsidR="00683DBE" w:rsidRPr="00683DBE" w:rsidSect="008A0BE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font>
  <w:font w:name="Lohit Devanagari">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20A8E"/>
    <w:multiLevelType w:val="multilevel"/>
    <w:tmpl w:val="5B76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4AD166ED"/>
    <w:multiLevelType w:val="hybridMultilevel"/>
    <w:tmpl w:val="38F20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DE30978"/>
    <w:multiLevelType w:val="multilevel"/>
    <w:tmpl w:val="C9568E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E2"/>
    <w:rsid w:val="000F749E"/>
    <w:rsid w:val="00224878"/>
    <w:rsid w:val="002760E1"/>
    <w:rsid w:val="00344ECE"/>
    <w:rsid w:val="003E3C4D"/>
    <w:rsid w:val="003F6C1C"/>
    <w:rsid w:val="0048235C"/>
    <w:rsid w:val="005E5ADB"/>
    <w:rsid w:val="00683DBE"/>
    <w:rsid w:val="008300B3"/>
    <w:rsid w:val="008A0BE2"/>
    <w:rsid w:val="009572C4"/>
    <w:rsid w:val="00AD51B2"/>
    <w:rsid w:val="00B44E95"/>
    <w:rsid w:val="00C35739"/>
    <w:rsid w:val="00C965F7"/>
    <w:rsid w:val="00EE4C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BFF87"/>
  <w15:docId w15:val="{19A400B7-7BD0-4C2A-8F93-59B7DF8F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A0BE2"/>
    <w:pPr>
      <w:tabs>
        <w:tab w:val="left" w:pos="708"/>
      </w:tabs>
      <w:suppressAutoHyphens/>
    </w:pPr>
    <w:rPr>
      <w:rFonts w:ascii="Calibri" w:eastAsia="DejaVu Sans" w:hAnsi="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rsid w:val="008A0BE2"/>
    <w:rPr>
      <w:rFonts w:ascii="Tahoma" w:hAnsi="Tahoma" w:cs="Tahoma"/>
      <w:sz w:val="16"/>
      <w:szCs w:val="16"/>
    </w:rPr>
  </w:style>
  <w:style w:type="paragraph" w:customStyle="1" w:styleId="Heading">
    <w:name w:val="Heading"/>
    <w:basedOn w:val="Normale"/>
    <w:next w:val="Textbody"/>
    <w:rsid w:val="008A0BE2"/>
    <w:pPr>
      <w:keepNext/>
      <w:spacing w:before="240" w:after="120"/>
    </w:pPr>
    <w:rPr>
      <w:rFonts w:ascii="Liberation Sans" w:hAnsi="Liberation Sans" w:cs="Lohit Devanagari"/>
      <w:sz w:val="28"/>
      <w:szCs w:val="28"/>
    </w:rPr>
  </w:style>
  <w:style w:type="paragraph" w:customStyle="1" w:styleId="Textbody">
    <w:name w:val="Text body"/>
    <w:basedOn w:val="Normale"/>
    <w:rsid w:val="008A0BE2"/>
    <w:pPr>
      <w:spacing w:after="120"/>
    </w:pPr>
  </w:style>
  <w:style w:type="paragraph" w:styleId="Elenco">
    <w:name w:val="List"/>
    <w:basedOn w:val="Textbody"/>
    <w:rsid w:val="008A0BE2"/>
    <w:rPr>
      <w:rFonts w:cs="Lohit Devanagari"/>
    </w:rPr>
  </w:style>
  <w:style w:type="paragraph" w:customStyle="1" w:styleId="Didascalia1">
    <w:name w:val="Didascalia1"/>
    <w:basedOn w:val="Normale"/>
    <w:rsid w:val="008A0BE2"/>
    <w:pPr>
      <w:suppressLineNumbers/>
      <w:spacing w:before="120" w:after="120"/>
    </w:pPr>
    <w:rPr>
      <w:rFonts w:cs="Lohit Devanagari"/>
      <w:i/>
      <w:iCs/>
      <w:sz w:val="24"/>
      <w:szCs w:val="24"/>
    </w:rPr>
  </w:style>
  <w:style w:type="paragraph" w:customStyle="1" w:styleId="Index">
    <w:name w:val="Index"/>
    <w:basedOn w:val="Normale"/>
    <w:rsid w:val="008A0BE2"/>
    <w:pPr>
      <w:suppressLineNumbers/>
    </w:pPr>
    <w:rPr>
      <w:rFonts w:cs="Lohit Devanagari"/>
    </w:rPr>
  </w:style>
  <w:style w:type="paragraph" w:styleId="Testofumetto">
    <w:name w:val="Balloon Text"/>
    <w:basedOn w:val="Normale"/>
    <w:rsid w:val="008A0BE2"/>
    <w:pPr>
      <w:spacing w:after="0" w:line="100" w:lineRule="atLeast"/>
    </w:pPr>
    <w:rPr>
      <w:rFonts w:ascii="Tahoma" w:hAnsi="Tahoma" w:cs="Tahoma"/>
      <w:sz w:val="16"/>
      <w:szCs w:val="16"/>
    </w:rPr>
  </w:style>
  <w:style w:type="paragraph" w:styleId="Paragrafoelenco">
    <w:name w:val="List Paragraph"/>
    <w:basedOn w:val="Normale"/>
    <w:rsid w:val="008A0BE2"/>
    <w:pPr>
      <w:ind w:left="720"/>
    </w:pPr>
  </w:style>
  <w:style w:type="paragraph" w:styleId="Nessunaspaziatura">
    <w:name w:val="No Spacing"/>
    <w:uiPriority w:val="1"/>
    <w:qFormat/>
    <w:rsid w:val="00683DBE"/>
    <w:pPr>
      <w:spacing w:after="0" w:line="240" w:lineRule="auto"/>
    </w:pPr>
    <w:rPr>
      <w:rFonts w:ascii="Calibri" w:eastAsia="Calibri" w:hAnsi="Calibri" w:cs="Times New Roman"/>
      <w:lang w:eastAsia="en-US"/>
    </w:rPr>
  </w:style>
  <w:style w:type="character" w:styleId="Collegamentoipertestuale">
    <w:name w:val="Hyperlink"/>
    <w:basedOn w:val="Carpredefinitoparagrafo"/>
    <w:uiPriority w:val="99"/>
    <w:unhideWhenUsed/>
    <w:rsid w:val="00683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globeatnight.org/about.php" TargetMode="External"/><Relationship Id="rId5" Type="http://schemas.openxmlformats.org/officeDocument/2006/relationships/image" Target="media/image1.emf"/><Relationship Id="rId10" Type="http://schemas.openxmlformats.org/officeDocument/2006/relationships/hyperlink" Target="http://www.globeatnight.org"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Andromeda</dc:creator>
  <cp:lastModifiedBy>pc</cp:lastModifiedBy>
  <cp:revision>2</cp:revision>
  <dcterms:created xsi:type="dcterms:W3CDTF">2015-04-06T18:44:00Z</dcterms:created>
  <dcterms:modified xsi:type="dcterms:W3CDTF">2015-04-06T18:44:00Z</dcterms:modified>
</cp:coreProperties>
</file>